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F5" w:rsidRDefault="00D32287" w:rsidP="00D32287">
      <w:pPr>
        <w:jc w:val="right"/>
      </w:pPr>
      <w:r>
        <w:t>British Literature</w:t>
      </w:r>
    </w:p>
    <w:p w:rsidR="00D32287" w:rsidRDefault="00D32287" w:rsidP="00D32287">
      <w:pPr>
        <w:jc w:val="right"/>
      </w:pPr>
      <w:r>
        <w:t>Cavalier Poet Analysis</w:t>
      </w:r>
    </w:p>
    <w:p w:rsidR="00D32287" w:rsidRDefault="00D32287" w:rsidP="00D32287">
      <w:pPr>
        <w:jc w:val="right"/>
      </w:pPr>
    </w:p>
    <w:p w:rsidR="00D32287" w:rsidRDefault="00D32287" w:rsidP="00D32287">
      <w:pPr>
        <w:jc w:val="left"/>
      </w:pPr>
      <w:r>
        <w:t>Directions:  With your group, read or reread the following poems and complete the chart.</w:t>
      </w:r>
    </w:p>
    <w:p w:rsidR="00D32287" w:rsidRDefault="00D32287" w:rsidP="00D32287">
      <w:pPr>
        <w:pStyle w:val="ListParagraph"/>
        <w:numPr>
          <w:ilvl w:val="0"/>
          <w:numId w:val="1"/>
        </w:numPr>
        <w:jc w:val="left"/>
      </w:pPr>
      <w:r>
        <w:t>“To the Virgins, to Make Much of Time” Robert Herrick (449)</w:t>
      </w:r>
    </w:p>
    <w:p w:rsidR="00D32287" w:rsidRDefault="00D32287" w:rsidP="00D32287">
      <w:pPr>
        <w:pStyle w:val="ListParagraph"/>
        <w:numPr>
          <w:ilvl w:val="0"/>
          <w:numId w:val="1"/>
        </w:numPr>
        <w:jc w:val="left"/>
      </w:pPr>
      <w:r>
        <w:t>“Carpe Diem” Horace (451)</w:t>
      </w:r>
    </w:p>
    <w:p w:rsidR="00D32287" w:rsidRDefault="00D32287" w:rsidP="00D32287">
      <w:pPr>
        <w:pStyle w:val="ListParagraph"/>
        <w:numPr>
          <w:ilvl w:val="0"/>
          <w:numId w:val="1"/>
        </w:numPr>
        <w:jc w:val="left"/>
      </w:pPr>
      <w:r>
        <w:t>“To Helene” Pierre de Ronsard (452)</w:t>
      </w:r>
    </w:p>
    <w:p w:rsidR="00D32287" w:rsidRDefault="00D32287" w:rsidP="00D32287">
      <w:pPr>
        <w:pStyle w:val="ListParagraph"/>
        <w:numPr>
          <w:ilvl w:val="0"/>
          <w:numId w:val="1"/>
        </w:numPr>
        <w:jc w:val="left"/>
      </w:pPr>
      <w:r>
        <w:t>“</w:t>
      </w:r>
      <w:proofErr w:type="spellStart"/>
      <w:r>
        <w:t>Rubaiyat</w:t>
      </w:r>
      <w:proofErr w:type="spellEnd"/>
      <w:r>
        <w:t>”</w:t>
      </w:r>
      <w:r w:rsidR="00674B45">
        <w:t xml:space="preserve"> Omar Khayyam/Edward Fit</w:t>
      </w:r>
      <w:r>
        <w:t>zGerald (453)</w:t>
      </w:r>
    </w:p>
    <w:p w:rsidR="00D32287" w:rsidRDefault="00D32287" w:rsidP="00D32287">
      <w:pPr>
        <w:jc w:val="left"/>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D32287" w:rsidTr="00D32287">
        <w:tc>
          <w:tcPr>
            <w:tcW w:w="1596" w:type="dxa"/>
          </w:tcPr>
          <w:p w:rsidR="00D32287" w:rsidRDefault="00D32287" w:rsidP="00D32287">
            <w:pPr>
              <w:jc w:val="left"/>
            </w:pPr>
            <w:r>
              <w:t>Poem</w:t>
            </w:r>
          </w:p>
        </w:tc>
        <w:tc>
          <w:tcPr>
            <w:tcW w:w="1596" w:type="dxa"/>
          </w:tcPr>
          <w:p w:rsidR="00D32287" w:rsidRDefault="00D32287" w:rsidP="00D32287">
            <w:pPr>
              <w:jc w:val="left"/>
            </w:pPr>
            <w:r>
              <w:t>Speaker of Poem</w:t>
            </w:r>
          </w:p>
        </w:tc>
        <w:tc>
          <w:tcPr>
            <w:tcW w:w="1596" w:type="dxa"/>
          </w:tcPr>
          <w:p w:rsidR="00D32287" w:rsidRDefault="00D32287" w:rsidP="00D32287">
            <w:pPr>
              <w:jc w:val="left"/>
            </w:pPr>
            <w:r>
              <w:t>To Whom is the Poem Spoken</w:t>
            </w:r>
          </w:p>
        </w:tc>
        <w:tc>
          <w:tcPr>
            <w:tcW w:w="1596" w:type="dxa"/>
          </w:tcPr>
          <w:p w:rsidR="00D32287" w:rsidRDefault="00D32287" w:rsidP="00D32287">
            <w:pPr>
              <w:jc w:val="left"/>
            </w:pPr>
            <w:r>
              <w:t>Advice given by speaker</w:t>
            </w:r>
          </w:p>
        </w:tc>
        <w:tc>
          <w:tcPr>
            <w:tcW w:w="1596" w:type="dxa"/>
          </w:tcPr>
          <w:p w:rsidR="00D32287" w:rsidRDefault="00D32287" w:rsidP="00D32287">
            <w:pPr>
              <w:jc w:val="left"/>
            </w:pPr>
            <w:r>
              <w:t>Discussion re:  nature of life and death</w:t>
            </w:r>
          </w:p>
        </w:tc>
        <w:tc>
          <w:tcPr>
            <w:tcW w:w="1596" w:type="dxa"/>
          </w:tcPr>
          <w:p w:rsidR="00D32287" w:rsidRDefault="00D32287" w:rsidP="00D32287">
            <w:pPr>
              <w:jc w:val="left"/>
            </w:pPr>
            <w:r>
              <w:t>Discussion re: issue of time</w:t>
            </w:r>
          </w:p>
        </w:tc>
      </w:tr>
      <w:tr w:rsidR="00D32287" w:rsidTr="00D32287">
        <w:tc>
          <w:tcPr>
            <w:tcW w:w="1596" w:type="dxa"/>
          </w:tcPr>
          <w:p w:rsidR="00D32287" w:rsidRDefault="00D32287" w:rsidP="00D32287">
            <w:pPr>
              <w:jc w:val="left"/>
            </w:pPr>
            <w:r>
              <w:t>“To the Virgins”</w:t>
            </w:r>
          </w:p>
        </w:tc>
        <w:tc>
          <w:tcPr>
            <w:tcW w:w="1596" w:type="dxa"/>
          </w:tcPr>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tc>
        <w:tc>
          <w:tcPr>
            <w:tcW w:w="1596" w:type="dxa"/>
          </w:tcPr>
          <w:p w:rsidR="00D32287" w:rsidRDefault="00D32287" w:rsidP="00D32287">
            <w:pPr>
              <w:jc w:val="left"/>
            </w:pPr>
          </w:p>
        </w:tc>
        <w:tc>
          <w:tcPr>
            <w:tcW w:w="1596" w:type="dxa"/>
          </w:tcPr>
          <w:p w:rsidR="00D32287" w:rsidRDefault="00D32287" w:rsidP="00D32287">
            <w:pPr>
              <w:jc w:val="left"/>
            </w:pPr>
          </w:p>
        </w:tc>
        <w:tc>
          <w:tcPr>
            <w:tcW w:w="1596" w:type="dxa"/>
          </w:tcPr>
          <w:p w:rsidR="00D32287" w:rsidRDefault="00D32287" w:rsidP="00D32287">
            <w:pPr>
              <w:jc w:val="left"/>
            </w:pPr>
          </w:p>
        </w:tc>
        <w:tc>
          <w:tcPr>
            <w:tcW w:w="1596" w:type="dxa"/>
          </w:tcPr>
          <w:p w:rsidR="00D32287" w:rsidRDefault="00D32287" w:rsidP="00D32287">
            <w:pPr>
              <w:jc w:val="left"/>
            </w:pPr>
          </w:p>
        </w:tc>
      </w:tr>
      <w:tr w:rsidR="00D32287" w:rsidTr="00D32287">
        <w:tc>
          <w:tcPr>
            <w:tcW w:w="1596" w:type="dxa"/>
          </w:tcPr>
          <w:p w:rsidR="00D32287" w:rsidRDefault="00D32287" w:rsidP="00D32287">
            <w:pPr>
              <w:jc w:val="left"/>
            </w:pPr>
            <w:r>
              <w:t>“Carpe Diem”</w:t>
            </w:r>
          </w:p>
        </w:tc>
        <w:tc>
          <w:tcPr>
            <w:tcW w:w="1596" w:type="dxa"/>
          </w:tcPr>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tc>
        <w:tc>
          <w:tcPr>
            <w:tcW w:w="1596" w:type="dxa"/>
          </w:tcPr>
          <w:p w:rsidR="00D32287" w:rsidRDefault="00D32287" w:rsidP="00D32287">
            <w:pPr>
              <w:jc w:val="left"/>
            </w:pPr>
          </w:p>
        </w:tc>
        <w:tc>
          <w:tcPr>
            <w:tcW w:w="1596" w:type="dxa"/>
          </w:tcPr>
          <w:p w:rsidR="00D32287" w:rsidRDefault="00D32287" w:rsidP="00D32287">
            <w:pPr>
              <w:jc w:val="left"/>
            </w:pPr>
          </w:p>
        </w:tc>
        <w:tc>
          <w:tcPr>
            <w:tcW w:w="1596" w:type="dxa"/>
          </w:tcPr>
          <w:p w:rsidR="00D32287" w:rsidRDefault="00D32287" w:rsidP="00D32287">
            <w:pPr>
              <w:jc w:val="left"/>
            </w:pPr>
          </w:p>
        </w:tc>
        <w:tc>
          <w:tcPr>
            <w:tcW w:w="1596" w:type="dxa"/>
          </w:tcPr>
          <w:p w:rsidR="00D32287" w:rsidRDefault="00D32287" w:rsidP="00D32287">
            <w:pPr>
              <w:jc w:val="left"/>
            </w:pPr>
          </w:p>
        </w:tc>
      </w:tr>
      <w:tr w:rsidR="00D32287" w:rsidTr="00D32287">
        <w:tc>
          <w:tcPr>
            <w:tcW w:w="1596" w:type="dxa"/>
          </w:tcPr>
          <w:p w:rsidR="00D32287" w:rsidRDefault="00D32287" w:rsidP="00D32287">
            <w:pPr>
              <w:jc w:val="left"/>
            </w:pPr>
            <w:r>
              <w:t>“To Helene”</w:t>
            </w:r>
          </w:p>
        </w:tc>
        <w:tc>
          <w:tcPr>
            <w:tcW w:w="1596" w:type="dxa"/>
          </w:tcPr>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tc>
        <w:tc>
          <w:tcPr>
            <w:tcW w:w="1596" w:type="dxa"/>
          </w:tcPr>
          <w:p w:rsidR="00D32287" w:rsidRDefault="00D32287" w:rsidP="00D32287">
            <w:pPr>
              <w:jc w:val="left"/>
            </w:pPr>
          </w:p>
        </w:tc>
        <w:tc>
          <w:tcPr>
            <w:tcW w:w="1596" w:type="dxa"/>
          </w:tcPr>
          <w:p w:rsidR="00D32287" w:rsidRDefault="00D32287" w:rsidP="00D32287">
            <w:pPr>
              <w:jc w:val="left"/>
            </w:pPr>
          </w:p>
        </w:tc>
        <w:tc>
          <w:tcPr>
            <w:tcW w:w="1596" w:type="dxa"/>
          </w:tcPr>
          <w:p w:rsidR="00D32287" w:rsidRDefault="00D32287" w:rsidP="00D32287">
            <w:pPr>
              <w:jc w:val="left"/>
            </w:pPr>
          </w:p>
        </w:tc>
        <w:tc>
          <w:tcPr>
            <w:tcW w:w="1596" w:type="dxa"/>
          </w:tcPr>
          <w:p w:rsidR="00D32287" w:rsidRDefault="00D32287" w:rsidP="00D32287">
            <w:pPr>
              <w:jc w:val="left"/>
            </w:pPr>
          </w:p>
        </w:tc>
      </w:tr>
      <w:tr w:rsidR="00D32287" w:rsidTr="00D32287">
        <w:tc>
          <w:tcPr>
            <w:tcW w:w="1596" w:type="dxa"/>
          </w:tcPr>
          <w:p w:rsidR="00D32287" w:rsidRDefault="00D32287" w:rsidP="00D32287">
            <w:pPr>
              <w:jc w:val="left"/>
            </w:pPr>
            <w:r>
              <w:t>“</w:t>
            </w:r>
            <w:proofErr w:type="spellStart"/>
            <w:r>
              <w:t>Rubaiyat</w:t>
            </w:r>
            <w:proofErr w:type="spellEnd"/>
            <w:r>
              <w:t>”</w:t>
            </w:r>
          </w:p>
        </w:tc>
        <w:tc>
          <w:tcPr>
            <w:tcW w:w="1596" w:type="dxa"/>
          </w:tcPr>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p w:rsidR="00D32287" w:rsidRDefault="00D32287" w:rsidP="00D32287">
            <w:pPr>
              <w:jc w:val="left"/>
            </w:pPr>
          </w:p>
        </w:tc>
        <w:tc>
          <w:tcPr>
            <w:tcW w:w="1596" w:type="dxa"/>
          </w:tcPr>
          <w:p w:rsidR="00D32287" w:rsidRDefault="00D32287" w:rsidP="00D32287">
            <w:pPr>
              <w:jc w:val="left"/>
            </w:pPr>
          </w:p>
        </w:tc>
        <w:tc>
          <w:tcPr>
            <w:tcW w:w="1596" w:type="dxa"/>
          </w:tcPr>
          <w:p w:rsidR="00D32287" w:rsidRDefault="00D32287" w:rsidP="00D32287">
            <w:pPr>
              <w:jc w:val="left"/>
            </w:pPr>
          </w:p>
        </w:tc>
        <w:tc>
          <w:tcPr>
            <w:tcW w:w="1596" w:type="dxa"/>
          </w:tcPr>
          <w:p w:rsidR="00D32287" w:rsidRDefault="00D32287" w:rsidP="00D32287">
            <w:pPr>
              <w:jc w:val="left"/>
            </w:pPr>
          </w:p>
        </w:tc>
        <w:tc>
          <w:tcPr>
            <w:tcW w:w="1596" w:type="dxa"/>
          </w:tcPr>
          <w:p w:rsidR="00D32287" w:rsidRDefault="00D32287" w:rsidP="00D32287">
            <w:pPr>
              <w:jc w:val="left"/>
            </w:pPr>
          </w:p>
        </w:tc>
      </w:tr>
    </w:tbl>
    <w:p w:rsidR="00D32287" w:rsidRDefault="00D32287" w:rsidP="00D32287">
      <w:pPr>
        <w:jc w:val="left"/>
      </w:pPr>
    </w:p>
    <w:p w:rsidR="00D32287" w:rsidRDefault="00674B45" w:rsidP="00674B45">
      <w:pPr>
        <w:jc w:val="right"/>
      </w:pPr>
      <w:r>
        <w:lastRenderedPageBreak/>
        <w:t>British Literature</w:t>
      </w:r>
    </w:p>
    <w:p w:rsidR="00674B45" w:rsidRDefault="00674B45" w:rsidP="00674B45">
      <w:pPr>
        <w:jc w:val="right"/>
      </w:pPr>
      <w:bookmarkStart w:id="0" w:name="_GoBack"/>
      <w:bookmarkEnd w:id="0"/>
      <w:r>
        <w:t xml:space="preserve">Carpe Diem for </w:t>
      </w:r>
      <w:proofErr w:type="gramStart"/>
      <w:r>
        <w:t>Freshmen</w:t>
      </w:r>
      <w:proofErr w:type="gramEnd"/>
    </w:p>
    <w:p w:rsidR="00674B45" w:rsidRDefault="00674B45" w:rsidP="00674B45">
      <w:pPr>
        <w:jc w:val="right"/>
      </w:pPr>
    </w:p>
    <w:p w:rsidR="00674B45" w:rsidRDefault="00674B45" w:rsidP="00674B45">
      <w:pPr>
        <w:jc w:val="right"/>
      </w:pPr>
    </w:p>
    <w:p w:rsidR="00674B45" w:rsidRDefault="00674B45" w:rsidP="00674B45">
      <w:pPr>
        <w:jc w:val="left"/>
      </w:pPr>
      <w:r>
        <w:t>Directions:  Your job is to draft a poem in the same style as Herrick’s “To the Virgins, to Make Much of Time.”</w:t>
      </w:r>
      <w:r w:rsidR="00A0059B">
        <w:t xml:space="preserve">  The first two lines are drafted for you except for the blank you need to fill in.  Like the original it must be 16 lines long (including the two provided for you).  It needs to be an ABAB, CDCD, EFEF, GHGH rhyme scheme.  The meter does not need to be followed.  Write your draft on a separate sheet and then transfer your finished product here.</w:t>
      </w:r>
    </w:p>
    <w:p w:rsidR="00A0059B" w:rsidRDefault="00A0059B" w:rsidP="00674B45">
      <w:pPr>
        <w:jc w:val="left"/>
      </w:pPr>
    </w:p>
    <w:p w:rsidR="00A0059B" w:rsidRDefault="00A0059B" w:rsidP="00A0059B">
      <w:pPr>
        <w:rPr>
          <w:rFonts w:ascii="Old English Text MT" w:hAnsi="Old English Text MT"/>
          <w:sz w:val="32"/>
          <w:szCs w:val="32"/>
        </w:rPr>
      </w:pPr>
      <w:r>
        <w:rPr>
          <w:rFonts w:ascii="Old English Text MT" w:hAnsi="Old English Text MT"/>
          <w:sz w:val="32"/>
          <w:szCs w:val="32"/>
        </w:rPr>
        <w:t xml:space="preserve">To the </w:t>
      </w:r>
      <w:proofErr w:type="gramStart"/>
      <w:r>
        <w:rPr>
          <w:rFonts w:ascii="Old English Text MT" w:hAnsi="Old English Text MT"/>
          <w:sz w:val="32"/>
          <w:szCs w:val="32"/>
        </w:rPr>
        <w:t>Freshmen</w:t>
      </w:r>
      <w:proofErr w:type="gramEnd"/>
      <w:r>
        <w:rPr>
          <w:rFonts w:ascii="Old English Text MT" w:hAnsi="Old English Text MT"/>
          <w:sz w:val="32"/>
          <w:szCs w:val="32"/>
        </w:rPr>
        <w:t>, to Make Much of Time</w:t>
      </w:r>
    </w:p>
    <w:p w:rsidR="00A0059B" w:rsidRDefault="00A0059B" w:rsidP="00A0059B">
      <w:pPr>
        <w:jc w:val="left"/>
        <w:rPr>
          <w:rFonts w:ascii="Old English Text MT" w:hAnsi="Old English Text MT"/>
          <w:sz w:val="32"/>
          <w:szCs w:val="32"/>
        </w:rPr>
      </w:pPr>
    </w:p>
    <w:p w:rsidR="00A0059B" w:rsidRDefault="00A0059B" w:rsidP="00A0059B">
      <w:r>
        <w:rPr>
          <w:rFonts w:ascii="Old English Text MT" w:hAnsi="Old English Text MT"/>
          <w:sz w:val="32"/>
          <w:szCs w:val="32"/>
        </w:rPr>
        <w:t>G</w:t>
      </w:r>
      <w:r>
        <w:t>ather ye ______________, while ye may,</w:t>
      </w:r>
    </w:p>
    <w:p w:rsidR="00A0059B" w:rsidRPr="00A0059B" w:rsidRDefault="00A0059B" w:rsidP="00A0059B">
      <w:r>
        <w:t>Old time is still a-flying:</w:t>
      </w:r>
    </w:p>
    <w:p w:rsidR="00674B45" w:rsidRDefault="00674B45" w:rsidP="00674B45">
      <w:pPr>
        <w:jc w:val="right"/>
      </w:pPr>
    </w:p>
    <w:p w:rsidR="00674B45" w:rsidRDefault="00674B45" w:rsidP="00674B45">
      <w:pPr>
        <w:jc w:val="right"/>
      </w:pPr>
    </w:p>
    <w:sectPr w:rsidR="0067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93BFC"/>
    <w:multiLevelType w:val="hybridMultilevel"/>
    <w:tmpl w:val="0B6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87"/>
    <w:rsid w:val="00674B45"/>
    <w:rsid w:val="00A0059B"/>
    <w:rsid w:val="00D32287"/>
    <w:rsid w:val="00F6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287"/>
    <w:pPr>
      <w:ind w:left="720"/>
      <w:contextualSpacing/>
    </w:pPr>
  </w:style>
  <w:style w:type="table" w:styleId="TableGrid">
    <w:name w:val="Table Grid"/>
    <w:basedOn w:val="TableNormal"/>
    <w:uiPriority w:val="59"/>
    <w:rsid w:val="00D32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287"/>
    <w:pPr>
      <w:ind w:left="720"/>
      <w:contextualSpacing/>
    </w:pPr>
  </w:style>
  <w:style w:type="table" w:styleId="TableGrid">
    <w:name w:val="Table Grid"/>
    <w:basedOn w:val="TableNormal"/>
    <w:uiPriority w:val="59"/>
    <w:rsid w:val="00D32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46BCD-6BBF-483F-BC51-47DDB8F3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2013-02-04T15:42:00Z</cp:lastPrinted>
  <dcterms:created xsi:type="dcterms:W3CDTF">2013-02-04T15:42:00Z</dcterms:created>
  <dcterms:modified xsi:type="dcterms:W3CDTF">2013-02-04T15:42:00Z</dcterms:modified>
</cp:coreProperties>
</file>